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sz w:val="32"/>
        </w:rPr>
        <w:t xml:space="preserve">相关法律依据汇总</w:t>
      </w:r>
    </w:p>
    <w:p/>
    <w:p>
      <w:r>
        <w:rPr>
          <w:b/>
          <w:sz w:val="32"/>
        </w:rPr>
        <w:t xml:space="preserve">商品房“货不对版”相关法律依据汇总</w:t>
      </w:r>
    </w:p>
    <w:p/>
    <w:p>
      <w:r>
        <w:rPr>
          <w:b/>
          <w:sz w:val="32"/>
        </w:rPr>
        <w:t xml:space="preserve">重要声明</w:t>
      </w:r>
    </w:p>
    <w:p>
      <w:r>
        <w:t xml:space="preserve">本文仅为面向“保利东方臻悦”小区业主的一般性法律知识参考，旨在梳理与商品房交付“货不对版”问题相关的现行法律法规要点。本文不构成任何专业法律意见，亦不代表对本案具体事实的最终法律定性。由于法律法规可能修订更新，且个案情况差异显著，业主在采取任何正式维权行动前，务必以现行有效的法律规定为准，并咨询持有执业资格的律师，由律师结合具体合同条款、证据材料及实际情况出具专业意见。</w:t>
      </w:r>
    </w:p>
    <w:p/>
    <w:p>
      <w:r>
        <w:rPr>
          <w:b/>
          <w:sz w:val="32"/>
        </w:rPr>
        <w:t xml:space="preserve">一、销售广告与宣传资料的法律效力：是否构成合同内容</w:t>
      </w:r>
    </w:p>
    <w:p>
      <w:r>
        <w:rPr>
          <w:b/>
          <w:sz w:val="26"/>
        </w:rPr>
        <w:t xml:space="preserve">（一）一般原则：要约邀请与要约的区分</w:t>
      </w:r>
    </w:p>
    <w:p>
      <w:r>
        <w:t xml:space="preserve">- 通常，开发商在售楼期间发布的广告、宣传册、沙盘、样板房展示以及销售人员口头承诺等，在法律上被定性为“要约邀请”，即邀请不特定的潜在购房者向开发商发出购房要约，而非直接构成合同内容。</w:t>
      </w:r>
    </w:p>
    <w:p>
      <w:r>
        <w:t xml:space="preserve">- 但是，当开发商就房屋及相关设施所作出的说明和允诺具体、确定，且对商品房买卖合同的订立以及房屋价格的确定有重大影响的，即使该说明和允诺未载入正式书面合同，也应当视为合同内容（转化为“要约”）。开发商若违反该等内容，应当承担违约责任。</w:t>
      </w:r>
    </w:p>
    <w:p/>
    <w:p>
      <w:r>
        <w:rPr>
          <w:b/>
          <w:sz w:val="26"/>
        </w:rPr>
        <w:t xml:space="preserve">（二）核心法律依据要点</w:t>
      </w:r>
    </w:p>
    <w:p>
      <w:r>
        <w:t xml:space="preserve">- 《中华人民共和国民法典》第四百七十二条、第四百七十三条：要约是希望与他人订立合同的意思表示，内容应具体确定并表明经受要约人承诺后即受该意思表示约束。要约邀请是希望他人向自己发出要约的表示。商业广告和宣传的内容符合要约规定的，构成要约。</w:t>
      </w:r>
    </w:p>
    <w:p>
      <w:r>
        <w:t xml:space="preserve">- 《最高人民法院关于审理商品房买卖合同纠纷案件适用法律若干问题的解释》第三条：商品房的销售广告和宣传资料为要约邀请。但是，出卖人就商品房开发规划范围内的房屋及相关设施所作的说明和允诺具体确定，并对商品房买卖合同的订立以及房屋价格的确定有重大影响的，构成要约。该说明和允诺即使未载入商品房买卖合同，亦应当为合同内容；当事人违反的，应当承担违约责任。</w:t>
      </w:r>
    </w:p>
    <w:p/>
    <w:p>
      <w:r>
        <w:rPr>
          <w:b/>
          <w:sz w:val="26"/>
        </w:rPr>
        <w:t xml:space="preserve">（三）对“保利东方臻悦”的可能关联</w:t>
      </w:r>
    </w:p>
    <w:p>
      <w:r>
        <w:t xml:space="preserve">- 售楼时展示的架空层功能（如高端休憩区、会客区）、特定装修标准、名贵树种园林景观、气派大堂等，若其描述具体、明确（而非抽象夸大性形容），且对业主购房决策及房价产生显著影响，可能被认定为构成要约，进而成为合同的一部分。业主可据此主张开发商实际交付的楼栋与约定不符，构成违约。</w:t>
      </w:r>
    </w:p>
    <w:p/>
    <w:p>
      <w:r>
        <w:rPr>
          <w:b/>
          <w:sz w:val="32"/>
        </w:rPr>
        <w:t xml:space="preserve">二、开发商交付义务与质量责任的法律依据</w:t>
      </w:r>
    </w:p>
    <w:p>
      <w:r>
        <w:rPr>
          <w:b/>
          <w:sz w:val="26"/>
        </w:rPr>
        <w:t xml:space="preserve">（一）交付标准须符合合同约定及法定要求</w:t>
      </w:r>
    </w:p>
    <w:p>
      <w:r>
        <w:t xml:space="preserve">- 开发商交付的商品房，其空间尺寸、建筑设计、装修用材、设施设备、公共区域配置等，必须严格符合《商品房买卖合同》及其附件所载明的标准。任何未征得业主同意的减配、替换或降低标准的行为，均构成合同违约。</w:t>
      </w:r>
    </w:p>
    <w:p>
      <w:r>
        <w:t xml:space="preserve">- 即使合同条款存在模糊之处，开发商依据《民法典》所确立的诚实信用原则，仍应按通常标准及交易习惯履行义务，不得利用优势地位作出不利于业主的不公平解释。</w:t>
      </w:r>
    </w:p>
    <w:p/>
    <w:p>
      <w:r>
        <w:rPr>
          <w:b/>
          <w:sz w:val="26"/>
        </w:rPr>
        <w:t xml:space="preserve">（二）核心法律依据要点</w:t>
      </w:r>
    </w:p>
    <w:p>
      <w:r>
        <w:t xml:space="preserve">- 《中华人民共和国民法典》第五百零九条、第五百一十条、第五百一十一条：当事人应当按照约定全面履行自己的义务。合同内容约定不明确时，可协议补充；不能达成补充协议的，按照合同相关条款或交易习惯确定，质量要求不明确的，按照强制性国家标准履行，没有强制性国家标准的，按照推荐性国家标准履行。</w:t>
      </w:r>
    </w:p>
    <w:p>
      <w:r>
        <w:t xml:space="preserve">- 《商品房销售管理办法》第三十条：房地产开发企业应当按照合同约定，将符合交付使用条件的商品房按期交付给买受人。未能按期交付或交付的房屋存在质量问题的，应承担违约责任。</w:t>
      </w:r>
    </w:p>
    <w:p>
      <w:r>
        <w:t xml:space="preserve">- 《城市房地产开发经营管理条例》第三十条：房地产开发项目竣工，经验收合格后，方可交付使用。此处的“验收合格”为法定最低标准，不能豁免开发商须达到合同约定更高标准的义务。</w:t>
      </w:r>
    </w:p>
    <w:p/>
    <w:p>
      <w:r>
        <w:rPr>
          <w:b/>
          <w:sz w:val="26"/>
        </w:rPr>
        <w:t xml:space="preserve">（三）对“保利东方臻悦”的可能关联</w:t>
      </w:r>
    </w:p>
    <w:p>
      <w:r>
        <w:t xml:space="preserve">- 架空层功能缩水、公共区域墙面地面用材由宣传的高档材料变更为低档材料、景观绿植数量与品种严重不符等情况，属于明显的交付瑕疵或合同违约。业主有权要求开发商继续履行、采取补救措施（如更换材料、恢复功能等）或赔偿损失。</w:t>
      </w:r>
    </w:p>
    <w:p/>
    <w:p>
      <w:r>
        <w:rPr>
          <w:b/>
          <w:sz w:val="32"/>
        </w:rPr>
        <w:t xml:space="preserve">三、虚假宣传与误导销售的法律规制</w:t>
      </w:r>
    </w:p>
    <w:p>
      <w:r>
        <w:rPr>
          <w:b/>
          <w:sz w:val="26"/>
        </w:rPr>
        <w:t xml:space="preserve">（一）虚假宣传行为的界定</w:t>
      </w:r>
    </w:p>
    <w:p>
      <w:r>
        <w:t xml:space="preserve">- 开发商在销售过程中，对房屋状况、周边环境、配套设施等作出不真实、不准确或引人误解的商业宣传，欺骗、误导购房者的，构成虚假宣传，依法应承担行政责任乃至民事赔偿责任。即使某些内容未载入合同，若构成民事欺诈，业主有权请求撤销合同或主张赔偿。</w:t>
      </w:r>
    </w:p>
    <w:p/>
    <w:p>
      <w:r>
        <w:rPr>
          <w:b/>
          <w:sz w:val="26"/>
        </w:rPr>
        <w:t xml:space="preserve">（二）核心法律依据要点</w:t>
      </w:r>
    </w:p>
    <w:p>
      <w:r>
        <w:t xml:space="preserve">- 《中华人民共和国广告法》第四条、第二十八条：广告不得含有虚假或者引人误解的内容，不得欺骗、误导消费者。广告以虚假或者引人误解的内容欺骗、误导消费者的，构成虚假广告。对商品的性能、功能、状况、成分、规格、生产者、允诺等表示不准确、不清楚、不明白的，为虚假广告。广告主应当对广告内容的真实性负责。</w:t>
      </w:r>
    </w:p>
    <w:p>
      <w:r>
        <w:t xml:space="preserve">- 《中华人民共和国反不正当竞争法》第八条：经营者不得对其商品的性能、功能、质量、销售状况、用户评价、曾获荣誉等作虚假或者引人误解的商业宣传，欺骗、误导消费者。</w:t>
      </w:r>
    </w:p>
    <w:p>
      <w:r>
        <w:t xml:space="preserve">- 《中华人民共和国消费者权益保护法》第二十条：经营者向消费者提供有关商品或者服务的质量、性能、用途、有效期限等信息，应当真实、全面，不得作虚假或者引人误解的宣传。</w:t>
      </w:r>
    </w:p>
    <w:p>
      <w:r>
        <w:t xml:space="preserve">- 《中华人民共和国民法典》第一百四十八条、第一百五十七条：一方以欺诈手段，使对方在违背真实意思的情况下实施的民事法律行为，受欺诈方有权请求人民法院或者仲裁机构予以撤销。民事法律行为无效或被撤销后，过错方应赔偿对方损失。</w:t>
      </w:r>
    </w:p>
    <w:p/>
    <w:p>
      <w:r>
        <w:rPr>
          <w:b/>
          <w:sz w:val="26"/>
        </w:rPr>
        <w:t xml:space="preserve">（三）对“保利东方臻悦”的可能关联</w:t>
      </w:r>
    </w:p>
    <w:p>
      <w:r>
        <w:t xml:space="preserve">- 若开发商在样板房、销售说辞中明确使用了特定品牌建材、特定高度规格的架空层、特定品种的迎宾树等作为卖点，而交付现实突出背离，可能构成虚假宣传。业主不仅有要求开发商承担违约责任的权利，亦可向市场监督管理部门投诉举报，追究其行政责任。</w:t>
      </w:r>
    </w:p>
    <w:p/>
    <w:p>
      <w:r>
        <w:rPr>
          <w:b/>
          <w:sz w:val="32"/>
        </w:rPr>
        <w:t xml:space="preserve">四、消费者权益保护角度的权利梳理</w:t>
      </w:r>
    </w:p>
    <w:p>
      <w:r>
        <w:rPr>
          <w:b/>
          <w:sz w:val="26"/>
        </w:rPr>
        <w:t xml:space="preserve">（一）购房者的知情权与公平交易权</w:t>
      </w:r>
    </w:p>
    <w:p>
      <w:r>
        <w:t xml:space="preserve">- 购房者作为消费者，享有知悉其购买、使用的商品真实情况的权利，以及公平交易的权利。开发商对影响购房决策的重大事项刻意隐瞒或进行误导性描述，侵犯了消费者的基本权利。开发商通过预先拟定的格式合同排除己方核心责任、加重消费者责任的条款，可能无效。</w:t>
      </w:r>
    </w:p>
    <w:p/>
    <w:p>
      <w:r>
        <w:rPr>
          <w:b/>
          <w:sz w:val="26"/>
        </w:rPr>
        <w:t xml:space="preserve">（二）核心法律依据要点</w:t>
      </w:r>
    </w:p>
    <w:p>
      <w:r>
        <w:t xml:space="preserve">- 《中华人民共和国消费者权益保护法》第八条、第十条、第十六条：消费者享有知悉其购买、使用的商品或者接受的服务的真实情况的权利。经营者向消费者提供商品或者服务，应当恪守社会公德，诚信经营，保障消费者的合法权益；不得设定不公平、不合理的交易条件。</w:t>
      </w:r>
    </w:p>
    <w:p>
      <w:r>
        <w:t xml:space="preserve">- 《中华人民共和国民法典》第四百九十六条、第四百九十七条：采用格式条款订立合同的，提供方应遵循公平原则，并采取合理方式提示对方注意免除或者减轻其责任等与对方有重大利害关系的条款。不合理地免除或者减轻其责任、加重对方责任、限制对方主要权利的格式条款无效。</w:t>
      </w:r>
    </w:p>
    <w:p/>
    <w:p>
      <w:r>
        <w:rPr>
          <w:b/>
          <w:sz w:val="26"/>
        </w:rPr>
        <w:t xml:space="preserve">（三）对“保利东方臻悦”的可能关联</w:t>
      </w:r>
    </w:p>
    <w:p>
      <w:r>
        <w:t xml:space="preserve">- 合同中的一些概括性免责声明（如“宣传资料不构成合同要约，一切以实物为准”）并不能无限度免除开发商责任。若宣传内容已构成具体确定允诺，该等条款可能因违反公平原则、排除消费者主要权利而归于无效，业主仍可依据前述司法解释主张权利。</w:t>
      </w:r>
    </w:p>
    <w:p/>
    <w:p>
      <w:r>
        <w:rPr>
          <w:b/>
          <w:sz w:val="32"/>
        </w:rPr>
        <w:t xml:space="preserve">五、合同违约的救济与维权途径</w:t>
      </w:r>
    </w:p>
    <w:p>
      <w:r>
        <w:rPr>
          <w:b/>
          <w:sz w:val="26"/>
        </w:rPr>
        <w:t xml:space="preserve">（一）业主可主张的主要权利方向</w:t>
      </w:r>
    </w:p>
    <w:p>
      <w:r>
        <w:t xml:space="preserve">- 要求继续履行与采取补救措施：要求开发商按合同约定及宣传中构成要约的标准，对不符部分进行整改、更换、重做，使其达到应有品质与功能。</w:t>
      </w:r>
    </w:p>
    <w:p>
      <w:r>
        <w:t xml:space="preserve">- 要求赔偿损失：对因品质减配造成的房屋价值贬损、无法正常使用部分架空层等空间的功能损失、装修标准差价等直接损失，请求损害赔偿。</w:t>
      </w:r>
    </w:p>
    <w:p>
      <w:r>
        <w:t xml:space="preserve">- 在特定严重情形下行使合同解除权：若交付状况严重不符合约定，致使合同目的无法实现（例如主体结构质量不合格，或严重影响正常居住使用的主要功能缺失等），可依法主张解除合同并赔偿损失。此种权利行使须极其审慎，需经专业律师评估。</w:t>
      </w:r>
    </w:p>
    <w:p>
      <w:r>
        <w:t xml:space="preserve">- 向行政主管部门举报：就虚假宣传、工程质量不达标等问题，向市场监督管理部门、住房和城乡建设主管部门投诉举报，要求行政介入并予以查处。</w:t>
      </w:r>
    </w:p>
    <w:p/>
    <w:p>
      <w:r>
        <w:rPr>
          <w:b/>
          <w:sz w:val="26"/>
        </w:rPr>
        <w:t xml:space="preserve">（二）核心法律依据与权利基础</w:t>
      </w:r>
    </w:p>
    <w:p>
      <w:r>
        <w:t xml:space="preserve">- 《中华人民共和国民法典》第五百七十七条、第五百八十二条、第五百八十四条：当事人一方不履行合同义务或者履行合同义务不符合约定的，应当承担继续履行、采取补救措施或者赔偿损失等违约责任。赔偿损失额应相当于因违约所造成的损失，包括合同履行后可以获得的利益。</w:t>
      </w:r>
    </w:p>
    <w:p>
      <w:r>
        <w:t xml:space="preserve">- 《商品房销售管理办法》第三十一条：房地产开发企业销售商品房时设置样板房的，应当说明实际交付的商品房质量、设备及装修是否与样板房一致，未作说明的，实际交付的商品房应当与样板房一致。</w:t>
      </w:r>
    </w:p>
    <w:p/>
    <w:p>
      <w:r>
        <w:rPr>
          <w:b/>
          <w:sz w:val="26"/>
        </w:rPr>
        <w:t xml:space="preserve">（三）常见维权途径（步骤性梳理）</w:t>
      </w:r>
    </w:p>
    <w:p>
      <w:r>
        <w:t xml:space="preserve">- 证据固定阶段：系统收集并妥善保存售楼期间的所有宣传册页、户型图、广告单、样板房照片/视频、沙盘照片、与销售人员的微信/通话记录、合同及附件、付款凭证、交付通知书、问题现场照片视频等。所有证据请备份。</w:t>
      </w:r>
    </w:p>
    <w:p>
      <w:r>
        <w:t xml:space="preserve">- 内部沟通与书面交涉阶段：业主可联合统一诉求，形成书面问题清单，冷静、客观地向开发商发出《要求说明与整改函》，要求其限期就差异项给予书面解释及整改方案，留存交涉过程。使用邮政挂号信或快递邮件并保留凭证。</w:t>
      </w:r>
    </w:p>
    <w:p>
      <w:r>
        <w:t xml:space="preserve">- 行政投诉举报阶段：针对虚假宣传，可向项目所在地市场监督管理部门提交证据举报；针对房屋质量、违规交付等问题，可向当地住建部门投诉，请求行政调解或查处。</w:t>
      </w:r>
    </w:p>
    <w:p>
      <w:r>
        <w:t xml:space="preserve">- 司法路径阶段：如协商无果，可依据合同约定或法律规定，向人民法院提起诉讼或申请仲裁（若合同中有有效仲裁条款），提出违约赔偿、要求整改等诉请。此为最终保障手段，须在律师帮助下进行。</w:t>
      </w:r>
    </w:p>
    <w:p/>
    <w:p>
      <w:r>
        <w:rPr>
          <w:b/>
          <w:sz w:val="32"/>
        </w:rPr>
        <w:t xml:space="preserve">六、补充提示</w:t>
      </w:r>
    </w:p>
    <w:p>
      <w:r>
        <w:t xml:space="preserve">- 业主在集体维权过程中，应严格在法律框架内理性表达诉求，避免任何可能被解读为扰乱公共秩序、诽谤、寻衅滋事的行为，始终倚赖书面证据与法律程序。</w:t>
      </w:r>
    </w:p>
    <w:p>
      <w:r>
        <w:t xml:space="preserve">- 诉讼时效（三年）从知道或应当知道权利受损及义务人之日起算，切勿因持续等待而超过法定时效，导致丧失胜诉权。</w:t>
      </w:r>
    </w:p>
    <w:p>
      <w:r>
        <w:t xml:space="preserve">- 最终维权结果取决于合同具体约定、证据强度、法官或仲裁员的裁量，以及政策环境，本文所列仅为一般性法律要点，不可替代个案分析。</w:t>
      </w:r>
    </w:p>
    <w:p/>
    <w:p>
      <w:r>
        <w:t xml:space="preserve">本文编制时间：【文档生成日期】。本文由业主自行整理，不视为任何法律建议，具体事宜请联系专业律师。</w:t>
      </w:r>
    </w:p>
    <w:sectPr>
      <w:pgSz w:w="11906" w:h="16838"/>
      <w:pgMar w:top="1440" w:right="1440" w:bottom="1440" w:left="1440"/>
    </w:sectPr>
  </w:body>
</w:document>
</file>